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8F" w:rsidRDefault="00AF078F" w:rsidP="005D759D">
      <w:pPr>
        <w:spacing w:before="120"/>
        <w:jc w:val="center"/>
        <w:rPr>
          <w:b/>
        </w:rPr>
      </w:pPr>
    </w:p>
    <w:p w:rsidR="00AF078F" w:rsidRDefault="00AF078F" w:rsidP="005D759D">
      <w:pPr>
        <w:spacing w:before="120"/>
        <w:jc w:val="center"/>
        <w:rPr>
          <w:b/>
        </w:rPr>
      </w:pPr>
    </w:p>
    <w:p w:rsidR="00AF078F" w:rsidRDefault="00AF078F" w:rsidP="005D759D">
      <w:pPr>
        <w:spacing w:before="120"/>
        <w:jc w:val="center"/>
        <w:rPr>
          <w:b/>
        </w:rPr>
      </w:pPr>
    </w:p>
    <w:p w:rsidR="00AF078F" w:rsidRDefault="00AF078F" w:rsidP="005D759D">
      <w:pPr>
        <w:spacing w:before="120"/>
        <w:jc w:val="center"/>
        <w:rPr>
          <w:b/>
        </w:rPr>
      </w:pPr>
    </w:p>
    <w:p w:rsidR="005D759D" w:rsidRDefault="005D759D" w:rsidP="005D759D">
      <w:pPr>
        <w:spacing w:before="120"/>
        <w:jc w:val="center"/>
        <w:rPr>
          <w:b/>
        </w:rPr>
      </w:pPr>
      <w:r>
        <w:rPr>
          <w:b/>
        </w:rPr>
        <w:t>PHỤ LỤC</w:t>
      </w:r>
      <w:r w:rsidR="00AF078F">
        <w:rPr>
          <w:b/>
        </w:rPr>
        <w:t xml:space="preserve"> I</w:t>
      </w:r>
    </w:p>
    <w:p w:rsidR="001106D8" w:rsidRPr="006076BE" w:rsidRDefault="001106D8" w:rsidP="005D759D">
      <w:pPr>
        <w:spacing w:before="120"/>
        <w:jc w:val="center"/>
        <w:rPr>
          <w:b/>
        </w:rPr>
      </w:pPr>
      <w:r w:rsidRPr="006076BE">
        <w:rPr>
          <w:b/>
        </w:rPr>
        <w:t xml:space="preserve">Danh mục Nghị quyết </w:t>
      </w:r>
      <w:r w:rsidR="00AF078F">
        <w:rPr>
          <w:b/>
        </w:rPr>
        <w:t>đ</w:t>
      </w:r>
      <w:r w:rsidR="004D75D0">
        <w:rPr>
          <w:b/>
        </w:rPr>
        <w:t>ề</w:t>
      </w:r>
      <w:r w:rsidR="00AF078F">
        <w:rPr>
          <w:b/>
        </w:rPr>
        <w:t xml:space="preserve"> nghị bãi bỏ</w:t>
      </w:r>
    </w:p>
    <w:p w:rsidR="001106D8" w:rsidRPr="006076BE" w:rsidRDefault="001106D8" w:rsidP="008E04DC">
      <w:pPr>
        <w:spacing w:before="120"/>
        <w:ind w:firstLine="720"/>
        <w:jc w:val="center"/>
        <w:rPr>
          <w:b/>
        </w:rPr>
      </w:pP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746"/>
        <w:gridCol w:w="9602"/>
        <w:gridCol w:w="4962"/>
      </w:tblGrid>
      <w:tr w:rsidR="006076BE" w:rsidRPr="006076BE" w:rsidTr="00570490">
        <w:tc>
          <w:tcPr>
            <w:tcW w:w="746" w:type="dxa"/>
          </w:tcPr>
          <w:p w:rsidR="001106D8" w:rsidRPr="006076BE" w:rsidRDefault="001106D8" w:rsidP="008E04DC">
            <w:pPr>
              <w:spacing w:before="120"/>
              <w:jc w:val="center"/>
              <w:rPr>
                <w:b/>
              </w:rPr>
            </w:pPr>
            <w:r w:rsidRPr="006076BE">
              <w:rPr>
                <w:b/>
              </w:rPr>
              <w:t>STT</w:t>
            </w:r>
          </w:p>
        </w:tc>
        <w:tc>
          <w:tcPr>
            <w:tcW w:w="9602" w:type="dxa"/>
          </w:tcPr>
          <w:p w:rsidR="001106D8" w:rsidRPr="006076BE" w:rsidRDefault="007D2E32" w:rsidP="008E04D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Nghị quyết</w:t>
            </w:r>
          </w:p>
        </w:tc>
        <w:tc>
          <w:tcPr>
            <w:tcW w:w="4962" w:type="dxa"/>
          </w:tcPr>
          <w:p w:rsidR="001106D8" w:rsidRPr="006076BE" w:rsidRDefault="001106D8" w:rsidP="008E04DC">
            <w:pPr>
              <w:spacing w:before="120"/>
              <w:jc w:val="center"/>
              <w:rPr>
                <w:b/>
              </w:rPr>
            </w:pPr>
            <w:r w:rsidRPr="006076BE">
              <w:rPr>
                <w:b/>
              </w:rPr>
              <w:t>Lý do</w:t>
            </w:r>
          </w:p>
        </w:tc>
      </w:tr>
      <w:tr w:rsidR="0088367E" w:rsidRPr="006076BE" w:rsidTr="00570490">
        <w:tc>
          <w:tcPr>
            <w:tcW w:w="746" w:type="dxa"/>
          </w:tcPr>
          <w:p w:rsidR="0088367E" w:rsidRDefault="009C1910" w:rsidP="00C171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2" w:type="dxa"/>
          </w:tcPr>
          <w:p w:rsidR="0088367E" w:rsidRDefault="0088367E" w:rsidP="00C171EF">
            <w:pPr>
              <w:spacing w:before="120"/>
              <w:jc w:val="both"/>
            </w:pPr>
            <w:r w:rsidRPr="006076BE">
              <w:t>Nghị quyết số 04/2015/ NQ-HĐND ngày 15/7/2015 về Bảo tồn và phát huy bản sắc văn hóa các dân tộc thiểu số huyên Nam Trà My giai đoạn 2015-2020 và tầm nhìn đến năm 2030</w:t>
            </w:r>
          </w:p>
        </w:tc>
        <w:tc>
          <w:tcPr>
            <w:tcW w:w="4962" w:type="dxa"/>
            <w:vMerge w:val="restart"/>
          </w:tcPr>
          <w:p w:rsidR="0088367E" w:rsidRPr="007214C1" w:rsidRDefault="0088367E" w:rsidP="007214C1">
            <w:pPr>
              <w:spacing w:before="60"/>
              <w:jc w:val="both"/>
              <w:rPr>
                <w:szCs w:val="28"/>
                <w:lang w:val="da-DK"/>
              </w:rPr>
            </w:pPr>
            <w:r w:rsidRPr="007214C1">
              <w:rPr>
                <w:szCs w:val="28"/>
                <w:lang w:val="da-DK"/>
              </w:rPr>
              <w:t>Do một số nội dung của Nghị quyết không còn phù hợp</w:t>
            </w:r>
            <w:r w:rsidR="003B6AFD" w:rsidRPr="007214C1">
              <w:rPr>
                <w:szCs w:val="28"/>
                <w:lang w:val="da-DK"/>
              </w:rPr>
              <w:t>, chờ hướng d</w:t>
            </w:r>
            <w:r w:rsidR="008241BF" w:rsidRPr="007214C1">
              <w:rPr>
                <w:szCs w:val="28"/>
                <w:lang w:val="da-DK"/>
              </w:rPr>
              <w:t>ẫ</w:t>
            </w:r>
            <w:r w:rsidR="003B6AFD" w:rsidRPr="007214C1">
              <w:rPr>
                <w:szCs w:val="28"/>
                <w:lang w:val="da-DK"/>
              </w:rPr>
              <w:t>n đ</w:t>
            </w:r>
            <w:r w:rsidR="008241BF" w:rsidRPr="007214C1">
              <w:rPr>
                <w:szCs w:val="28"/>
                <w:lang w:val="da-DK"/>
              </w:rPr>
              <w:t>ể</w:t>
            </w:r>
            <w:r w:rsidR="003B6AFD" w:rsidRPr="007214C1">
              <w:rPr>
                <w:szCs w:val="28"/>
                <w:lang w:val="da-DK"/>
              </w:rPr>
              <w:t xml:space="preserve"> thực hiện theo Nghị quyết </w:t>
            </w:r>
            <w:r w:rsidR="008241BF" w:rsidRPr="007214C1">
              <w:rPr>
                <w:szCs w:val="28"/>
                <w:lang w:val="da-DK"/>
              </w:rPr>
              <w:t xml:space="preserve">88/2019/QH14 về phê duyệt </w:t>
            </w:r>
            <w:bookmarkStart w:id="0" w:name="dieu_1_name"/>
            <w:r w:rsidR="007214C1" w:rsidRPr="007214C1">
              <w:rPr>
                <w:color w:val="000000"/>
                <w:szCs w:val="28"/>
                <w:shd w:val="clear" w:color="auto" w:fill="FFFFFF"/>
                <w:lang w:val="vi-VN"/>
              </w:rPr>
              <w:t>Đề án tổng thể phát triển kinh tế - xã hội vùng đồng bào dân tộc thiểu số và miền núi giai đoạn 2021-2030</w:t>
            </w:r>
            <w:bookmarkEnd w:id="0"/>
          </w:p>
        </w:tc>
      </w:tr>
      <w:tr w:rsidR="0088367E" w:rsidRPr="006076BE" w:rsidTr="00570490">
        <w:tc>
          <w:tcPr>
            <w:tcW w:w="746" w:type="dxa"/>
          </w:tcPr>
          <w:p w:rsidR="0088367E" w:rsidRDefault="009C1910" w:rsidP="00C171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2" w:type="dxa"/>
          </w:tcPr>
          <w:p w:rsidR="0088367E" w:rsidRPr="006076BE" w:rsidRDefault="0088367E" w:rsidP="00C171EF">
            <w:pPr>
              <w:spacing w:before="120"/>
              <w:jc w:val="both"/>
            </w:pPr>
            <w:r w:rsidRPr="006076BE">
              <w:t>Nghị quyết số 55/NQ-HĐND ngày 26/4/2019 của HĐND huyện</w:t>
            </w:r>
            <w:r>
              <w:t xml:space="preserve"> </w:t>
            </w:r>
            <w:r>
              <w:rPr>
                <w:lang w:val="pt-BR"/>
              </w:rPr>
              <w:t xml:space="preserve">sửa đổi mục II, điểm 1, khoản 1, Điều 1 </w:t>
            </w:r>
            <w:r w:rsidRPr="004B1F8B">
              <w:rPr>
                <w:spacing w:val="2"/>
                <w:lang w:val="pt-BR"/>
              </w:rPr>
              <w:t>Nghị quyết</w:t>
            </w:r>
            <w:r w:rsidRPr="004B1F8B">
              <w:rPr>
                <w:lang w:val="pt-BR"/>
              </w:rPr>
              <w:t xml:space="preserve"> số 04/2015/NQ-HĐND ngày 15/7/2015 của HĐND huyện về Bảo tồn và phát huy bản sắc văn hóa các dân tộc thiểu số huyện Nam Trà My</w:t>
            </w:r>
            <w:r w:rsidRPr="004B1F8B">
              <w:rPr>
                <w:spacing w:val="2"/>
                <w:lang w:val="pt-BR"/>
              </w:rPr>
              <w:t xml:space="preserve"> giai đoạn 2015-2020, định hướng đến 2030</w:t>
            </w:r>
          </w:p>
        </w:tc>
        <w:tc>
          <w:tcPr>
            <w:tcW w:w="4962" w:type="dxa"/>
            <w:vMerge/>
          </w:tcPr>
          <w:p w:rsidR="0088367E" w:rsidRDefault="0088367E" w:rsidP="00C171EF">
            <w:pPr>
              <w:spacing w:before="60"/>
              <w:jc w:val="both"/>
              <w:rPr>
                <w:szCs w:val="28"/>
                <w:lang w:val="da-DK"/>
              </w:rPr>
            </w:pPr>
          </w:p>
        </w:tc>
      </w:tr>
    </w:tbl>
    <w:p w:rsidR="00D27A50" w:rsidRDefault="00D27A50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7214C1" w:rsidRDefault="007214C1" w:rsidP="00674F29">
      <w:pPr>
        <w:spacing w:before="120"/>
        <w:ind w:firstLine="720"/>
        <w:jc w:val="center"/>
      </w:pPr>
    </w:p>
    <w:p w:rsidR="007214C1" w:rsidRDefault="007214C1" w:rsidP="00674F29">
      <w:pPr>
        <w:spacing w:before="120"/>
        <w:ind w:firstLine="720"/>
        <w:jc w:val="center"/>
      </w:pPr>
    </w:p>
    <w:p w:rsidR="007214C1" w:rsidRDefault="007214C1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Pr="00AF078F" w:rsidRDefault="00AF078F" w:rsidP="00674F29">
      <w:pPr>
        <w:spacing w:before="120"/>
        <w:ind w:firstLine="720"/>
        <w:jc w:val="center"/>
        <w:rPr>
          <w:b/>
        </w:rPr>
      </w:pPr>
      <w:r w:rsidRPr="00AF078F">
        <w:rPr>
          <w:b/>
        </w:rPr>
        <w:lastRenderedPageBreak/>
        <w:t>PHỤ LỤC II</w:t>
      </w:r>
    </w:p>
    <w:p w:rsidR="00AF078F" w:rsidRDefault="00AF078F" w:rsidP="00674F29">
      <w:pPr>
        <w:spacing w:before="120"/>
        <w:ind w:firstLine="720"/>
        <w:jc w:val="center"/>
        <w:rPr>
          <w:b/>
        </w:rPr>
      </w:pPr>
      <w:r w:rsidRPr="00AF078F">
        <w:rPr>
          <w:b/>
        </w:rPr>
        <w:t>Danh mục Nghị quyết đề nghị</w:t>
      </w:r>
      <w:r>
        <w:t xml:space="preserve"> </w:t>
      </w:r>
      <w:r w:rsidRPr="00570490">
        <w:rPr>
          <w:b/>
        </w:rPr>
        <w:t>Công bố hết hiệu lực theo thời gian</w:t>
      </w:r>
    </w:p>
    <w:p w:rsidR="00AF078F" w:rsidRDefault="00AF078F" w:rsidP="00674F29">
      <w:pPr>
        <w:spacing w:before="120"/>
        <w:ind w:firstLine="720"/>
        <w:jc w:val="center"/>
      </w:pP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746"/>
        <w:gridCol w:w="9602"/>
        <w:gridCol w:w="4962"/>
      </w:tblGrid>
      <w:tr w:rsidR="00AF078F" w:rsidRPr="006076BE" w:rsidTr="00314663">
        <w:tc>
          <w:tcPr>
            <w:tcW w:w="746" w:type="dxa"/>
          </w:tcPr>
          <w:p w:rsidR="00AF078F" w:rsidRPr="006076BE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02" w:type="dxa"/>
          </w:tcPr>
          <w:p w:rsidR="00AF078F" w:rsidRPr="006076BE" w:rsidRDefault="00AF078F" w:rsidP="00314663">
            <w:pPr>
              <w:spacing w:before="120"/>
              <w:jc w:val="both"/>
            </w:pPr>
            <w:r w:rsidRPr="006076BE">
              <w:t xml:space="preserve">Nghị quyết số 01/2014/NQ-HĐND ngày 24/7/2014 về Xây dựng trường đạt chuẩn quốc gia huyện Nam Trà My giai đoạn 2014-2020; </w:t>
            </w:r>
          </w:p>
        </w:tc>
        <w:tc>
          <w:tcPr>
            <w:tcW w:w="4962" w:type="dxa"/>
            <w:vMerge w:val="restart"/>
          </w:tcPr>
          <w:p w:rsidR="00AF078F" w:rsidRDefault="00AF078F" w:rsidP="00314663">
            <w:pPr>
              <w:spacing w:before="120"/>
              <w:jc w:val="both"/>
              <w:rPr>
                <w:szCs w:val="28"/>
                <w:shd w:val="clear" w:color="auto" w:fill="FFFFFF"/>
                <w:lang w:val="de-DE"/>
              </w:rPr>
            </w:pPr>
          </w:p>
          <w:p w:rsidR="00AF078F" w:rsidRPr="006076BE" w:rsidRDefault="00AF078F" w:rsidP="00314663">
            <w:pPr>
              <w:spacing w:before="120"/>
              <w:jc w:val="both"/>
              <w:rPr>
                <w:b/>
              </w:rPr>
            </w:pPr>
            <w:r>
              <w:rPr>
                <w:szCs w:val="28"/>
                <w:shd w:val="clear" w:color="auto" w:fill="FFFFFF"/>
                <w:lang w:val="de-DE"/>
              </w:rPr>
              <w:t>Hoàn thành chỉ tiêu Nghị quyết đề ra và h</w:t>
            </w:r>
            <w:r w:rsidRPr="006076BE">
              <w:rPr>
                <w:szCs w:val="28"/>
                <w:shd w:val="clear" w:color="auto" w:fill="FFFFFF"/>
                <w:lang w:val="de-DE"/>
              </w:rPr>
              <w:t>ết hiệu lực theo thời gian.</w:t>
            </w:r>
          </w:p>
        </w:tc>
      </w:tr>
      <w:tr w:rsidR="00AF078F" w:rsidRPr="006076BE" w:rsidTr="00314663">
        <w:tc>
          <w:tcPr>
            <w:tcW w:w="746" w:type="dxa"/>
          </w:tcPr>
          <w:p w:rsidR="00AF078F" w:rsidRPr="006076BE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02" w:type="dxa"/>
          </w:tcPr>
          <w:p w:rsidR="00AF078F" w:rsidRPr="006076BE" w:rsidRDefault="00AF078F" w:rsidP="00314663">
            <w:pPr>
              <w:spacing w:before="120"/>
              <w:jc w:val="both"/>
            </w:pPr>
            <w:r w:rsidRPr="006076BE">
              <w:t xml:space="preserve">Nghị quyết số 54/NQ-HĐND ngày 26/4/2019 về </w:t>
            </w:r>
            <w:r w:rsidRPr="00CF29A8">
              <w:t xml:space="preserve">sửa đổi nội dung tại điểm 1.2, </w:t>
            </w:r>
            <w:r w:rsidRPr="00B96AED">
              <w:rPr>
                <w:lang w:val="pt-BR"/>
              </w:rPr>
              <w:t xml:space="preserve">khoản 1, Điều 1, Nghị quyết số </w:t>
            </w:r>
            <w:r w:rsidRPr="00B96AED">
              <w:rPr>
                <w:spacing w:val="2"/>
              </w:rPr>
              <w:t>01/2014/NQ-HĐND</w:t>
            </w:r>
            <w:r w:rsidRPr="00C50B88">
              <w:rPr>
                <w:spacing w:val="2"/>
              </w:rPr>
              <w:t xml:space="preserve"> </w:t>
            </w:r>
            <w:r w:rsidRPr="00B96AED">
              <w:rPr>
                <w:lang w:val="pt-BR"/>
              </w:rPr>
              <w:t>ngày 24/7/2014 của HĐND huyện về xây dựng trường học đạt chuẩn quốc gia giai đoạn 2014-2020</w:t>
            </w:r>
          </w:p>
        </w:tc>
        <w:tc>
          <w:tcPr>
            <w:tcW w:w="4962" w:type="dxa"/>
            <w:vMerge/>
          </w:tcPr>
          <w:p w:rsidR="00AF078F" w:rsidRPr="006076BE" w:rsidRDefault="00AF078F" w:rsidP="00314663">
            <w:pPr>
              <w:spacing w:before="120"/>
              <w:jc w:val="both"/>
              <w:rPr>
                <w:szCs w:val="28"/>
                <w:shd w:val="clear" w:color="auto" w:fill="FFFFFF"/>
                <w:lang w:val="de-DE"/>
              </w:rPr>
            </w:pPr>
          </w:p>
        </w:tc>
      </w:tr>
      <w:tr w:rsidR="00AF078F" w:rsidRPr="006076BE" w:rsidTr="00314663">
        <w:tc>
          <w:tcPr>
            <w:tcW w:w="746" w:type="dxa"/>
          </w:tcPr>
          <w:p w:rsidR="00AF078F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02" w:type="dxa"/>
          </w:tcPr>
          <w:p w:rsidR="00AF078F" w:rsidRPr="006076BE" w:rsidRDefault="00AF078F" w:rsidP="00314663">
            <w:pPr>
              <w:spacing w:before="120"/>
              <w:jc w:val="both"/>
            </w:pPr>
            <w:r w:rsidRPr="006076BE">
              <w:t>Nghị quyết số 14/NQ-HĐND ngày 05/8/2016 về thông qua Kế hoạch phát triển Kinh tế - Xã hội 5 năm 2016-2020</w:t>
            </w:r>
            <w:r>
              <w:t>.</w:t>
            </w:r>
            <w:r w:rsidRPr="006076BE">
              <w:t xml:space="preserve"> </w:t>
            </w:r>
          </w:p>
        </w:tc>
        <w:tc>
          <w:tcPr>
            <w:tcW w:w="4962" w:type="dxa"/>
            <w:vMerge w:val="restart"/>
          </w:tcPr>
          <w:p w:rsidR="00AF078F" w:rsidRDefault="00AF078F" w:rsidP="00314663">
            <w:pPr>
              <w:spacing w:before="120"/>
              <w:jc w:val="center"/>
              <w:rPr>
                <w:szCs w:val="28"/>
                <w:shd w:val="clear" w:color="auto" w:fill="FFFFFF"/>
                <w:lang w:val="de-DE"/>
              </w:rPr>
            </w:pPr>
          </w:p>
          <w:p w:rsidR="00AF078F" w:rsidRPr="006076BE" w:rsidRDefault="00AF078F" w:rsidP="00314663">
            <w:pPr>
              <w:spacing w:before="120"/>
              <w:jc w:val="center"/>
              <w:rPr>
                <w:szCs w:val="28"/>
                <w:shd w:val="clear" w:color="auto" w:fill="FFFFFF"/>
                <w:lang w:val="de-DE"/>
              </w:rPr>
            </w:pPr>
            <w:r>
              <w:rPr>
                <w:szCs w:val="28"/>
                <w:shd w:val="clear" w:color="auto" w:fill="FFFFFF"/>
                <w:lang w:val="de-DE"/>
              </w:rPr>
              <w:t>H</w:t>
            </w:r>
            <w:r w:rsidRPr="006076BE">
              <w:rPr>
                <w:szCs w:val="28"/>
                <w:shd w:val="clear" w:color="auto" w:fill="FFFFFF"/>
                <w:lang w:val="de-DE"/>
              </w:rPr>
              <w:t>ết hiệu lực theo thời gian.</w:t>
            </w:r>
          </w:p>
        </w:tc>
      </w:tr>
      <w:tr w:rsidR="00AF078F" w:rsidRPr="006076BE" w:rsidTr="00314663">
        <w:trPr>
          <w:trHeight w:val="936"/>
        </w:trPr>
        <w:tc>
          <w:tcPr>
            <w:tcW w:w="746" w:type="dxa"/>
          </w:tcPr>
          <w:p w:rsidR="00AF078F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02" w:type="dxa"/>
          </w:tcPr>
          <w:p w:rsidR="00AF078F" w:rsidRPr="006076BE" w:rsidRDefault="00AF078F" w:rsidP="00314663">
            <w:pPr>
              <w:spacing w:before="120"/>
              <w:jc w:val="both"/>
            </w:pPr>
            <w:r w:rsidRPr="006076BE">
              <w:t>Nghị quyết số 48/NQ-HĐND</w:t>
            </w:r>
            <w:r>
              <w:t xml:space="preserve"> ngày 20/12/2018 của HĐND huyện sửa đổi, bổ sung </w:t>
            </w:r>
            <w:r w:rsidRPr="006076BE">
              <w:t>Nghị quyết số 14/NQ-HĐND ngày 05/8/2016 về thông qua Kế hoạch phát triển Kinh tế - Xã hội 5 năm 2016-2020</w:t>
            </w:r>
            <w:r>
              <w:t>.</w:t>
            </w:r>
          </w:p>
        </w:tc>
        <w:tc>
          <w:tcPr>
            <w:tcW w:w="4962" w:type="dxa"/>
            <w:vMerge/>
          </w:tcPr>
          <w:p w:rsidR="00AF078F" w:rsidRPr="006076BE" w:rsidRDefault="00AF078F" w:rsidP="00314663">
            <w:pPr>
              <w:spacing w:before="120"/>
              <w:jc w:val="both"/>
              <w:rPr>
                <w:szCs w:val="28"/>
                <w:shd w:val="clear" w:color="auto" w:fill="FFFFFF"/>
                <w:lang w:val="de-DE"/>
              </w:rPr>
            </w:pPr>
          </w:p>
        </w:tc>
      </w:tr>
      <w:tr w:rsidR="00AF078F" w:rsidRPr="006076BE" w:rsidTr="00314663">
        <w:tc>
          <w:tcPr>
            <w:tcW w:w="746" w:type="dxa"/>
          </w:tcPr>
          <w:p w:rsidR="00AF078F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02" w:type="dxa"/>
          </w:tcPr>
          <w:p w:rsidR="00AF078F" w:rsidRPr="006076BE" w:rsidRDefault="00AF078F" w:rsidP="00314663">
            <w:pPr>
              <w:spacing w:before="120"/>
              <w:jc w:val="both"/>
            </w:pPr>
            <w:r w:rsidRPr="006076BE">
              <w:t xml:space="preserve">Nghị quyết số 27/NQ-HĐND ngày 28/12/2016 về trồng rừng, phục hồi rừng cây bản địa và bảo vệ rừng trên địa bàn huyện; </w:t>
            </w:r>
          </w:p>
        </w:tc>
        <w:tc>
          <w:tcPr>
            <w:tcW w:w="4962" w:type="dxa"/>
          </w:tcPr>
          <w:p w:rsidR="00AF078F" w:rsidRPr="006076BE" w:rsidRDefault="00AF078F" w:rsidP="005175E5">
            <w:pPr>
              <w:spacing w:before="120"/>
              <w:jc w:val="center"/>
              <w:rPr>
                <w:szCs w:val="28"/>
                <w:shd w:val="clear" w:color="auto" w:fill="FFFFFF"/>
                <w:lang w:val="de-DE"/>
              </w:rPr>
            </w:pPr>
            <w:r>
              <w:rPr>
                <w:szCs w:val="28"/>
                <w:shd w:val="clear" w:color="auto" w:fill="FFFFFF"/>
                <w:lang w:val="de-DE"/>
              </w:rPr>
              <w:t xml:space="preserve">Hết hiệu lực theo thời gian và triển khai thực hiện theo Nghị quyết số 46/2018/NQ-HĐND ngày 06/12/2018 của HĐND tỉnh và Quyết định 38/QĐ-TTg ngày 14/9/2016 của Thủ tướng Chính phủ </w:t>
            </w:r>
          </w:p>
        </w:tc>
      </w:tr>
      <w:tr w:rsidR="00AF078F" w:rsidRPr="006076BE" w:rsidTr="00314663">
        <w:tc>
          <w:tcPr>
            <w:tcW w:w="746" w:type="dxa"/>
          </w:tcPr>
          <w:p w:rsidR="00AF078F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02" w:type="dxa"/>
          </w:tcPr>
          <w:p w:rsidR="00AF078F" w:rsidRPr="006076BE" w:rsidRDefault="00AF078F" w:rsidP="00314663">
            <w:pPr>
              <w:spacing w:before="120"/>
              <w:jc w:val="both"/>
            </w:pPr>
            <w:r w:rsidRPr="006076BE">
              <w:t>Nghị quyết số 31/NQ-HĐND ngày 26/4/2017 về đầu tư phát triển vùng chuyên canh quế Trà My, giai đoạn 2017-2020 trên địa bàn huyện Nam Trà My;</w:t>
            </w:r>
          </w:p>
        </w:tc>
        <w:tc>
          <w:tcPr>
            <w:tcW w:w="4962" w:type="dxa"/>
          </w:tcPr>
          <w:p w:rsidR="00AF078F" w:rsidRPr="006076BE" w:rsidRDefault="00AF078F" w:rsidP="00314663">
            <w:pPr>
              <w:spacing w:before="120"/>
              <w:jc w:val="center"/>
              <w:rPr>
                <w:szCs w:val="28"/>
                <w:shd w:val="clear" w:color="auto" w:fill="FFFFFF"/>
                <w:lang w:val="de-DE"/>
              </w:rPr>
            </w:pPr>
            <w:r>
              <w:rPr>
                <w:szCs w:val="28"/>
                <w:shd w:val="clear" w:color="auto" w:fill="FFFFFF"/>
                <w:lang w:val="de-DE"/>
              </w:rPr>
              <w:t>H</w:t>
            </w:r>
            <w:r w:rsidRPr="006076BE">
              <w:rPr>
                <w:szCs w:val="28"/>
                <w:shd w:val="clear" w:color="auto" w:fill="FFFFFF"/>
                <w:lang w:val="de-DE"/>
              </w:rPr>
              <w:t>ết hiệu lực theo thời gian.</w:t>
            </w:r>
          </w:p>
        </w:tc>
      </w:tr>
      <w:tr w:rsidR="00AF078F" w:rsidRPr="006076BE" w:rsidTr="00314663">
        <w:tc>
          <w:tcPr>
            <w:tcW w:w="746" w:type="dxa"/>
          </w:tcPr>
          <w:p w:rsidR="00AF078F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02" w:type="dxa"/>
          </w:tcPr>
          <w:p w:rsidR="00AF078F" w:rsidRPr="006076BE" w:rsidRDefault="00AF078F" w:rsidP="005175E5">
            <w:pPr>
              <w:spacing w:before="120"/>
              <w:jc w:val="both"/>
            </w:pPr>
            <w:r w:rsidRPr="006076BE">
              <w:t xml:space="preserve">Nghị quyết số 30/NQ-HĐND ngày 20/12/2016 về khuyến khích bảo tồn và phát triển cây dược liệu trên địa bàn huyện giai đoạn 2017-2020; </w:t>
            </w:r>
          </w:p>
        </w:tc>
        <w:tc>
          <w:tcPr>
            <w:tcW w:w="4962" w:type="dxa"/>
          </w:tcPr>
          <w:p w:rsidR="00AF078F" w:rsidRPr="006076BE" w:rsidRDefault="00AF078F" w:rsidP="00314663">
            <w:pPr>
              <w:spacing w:before="120"/>
              <w:jc w:val="center"/>
              <w:rPr>
                <w:szCs w:val="28"/>
                <w:shd w:val="clear" w:color="auto" w:fill="FFFFFF"/>
                <w:lang w:val="de-DE"/>
              </w:rPr>
            </w:pPr>
            <w:r>
              <w:rPr>
                <w:szCs w:val="28"/>
                <w:shd w:val="clear" w:color="auto" w:fill="FFFFFF"/>
                <w:lang w:val="de-DE"/>
              </w:rPr>
              <w:t>H</w:t>
            </w:r>
            <w:r w:rsidRPr="006076BE">
              <w:rPr>
                <w:szCs w:val="28"/>
                <w:shd w:val="clear" w:color="auto" w:fill="FFFFFF"/>
                <w:lang w:val="de-DE"/>
              </w:rPr>
              <w:t>ết hiệu lực theo thời gian.</w:t>
            </w:r>
          </w:p>
        </w:tc>
      </w:tr>
      <w:tr w:rsidR="00AF078F" w:rsidRPr="006076BE" w:rsidTr="00314663">
        <w:tc>
          <w:tcPr>
            <w:tcW w:w="746" w:type="dxa"/>
          </w:tcPr>
          <w:p w:rsidR="00AF078F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02" w:type="dxa"/>
          </w:tcPr>
          <w:p w:rsidR="00AF078F" w:rsidRPr="006076BE" w:rsidRDefault="00AF078F" w:rsidP="005175E5">
            <w:pPr>
              <w:spacing w:before="120"/>
              <w:jc w:val="both"/>
            </w:pPr>
            <w:r w:rsidRPr="006076BE">
              <w:t xml:space="preserve">Nghị quyết số 33/NQ-HĐND ngày 26/4/2017 về đo đạc bản đồ, giao đất, cấp giấy chứng nhận quyền sử đụng đất trên địa bàn huyện giai đoạn 2017-2020; </w:t>
            </w:r>
          </w:p>
        </w:tc>
        <w:tc>
          <w:tcPr>
            <w:tcW w:w="4962" w:type="dxa"/>
          </w:tcPr>
          <w:p w:rsidR="00AF078F" w:rsidRDefault="00AF078F" w:rsidP="00314663">
            <w:pPr>
              <w:spacing w:before="120"/>
              <w:jc w:val="center"/>
              <w:rPr>
                <w:szCs w:val="28"/>
                <w:shd w:val="clear" w:color="auto" w:fill="FFFFFF"/>
                <w:lang w:val="de-DE"/>
              </w:rPr>
            </w:pPr>
            <w:r>
              <w:rPr>
                <w:szCs w:val="28"/>
                <w:shd w:val="clear" w:color="auto" w:fill="FFFFFF"/>
                <w:lang w:val="de-DE"/>
              </w:rPr>
              <w:t>H</w:t>
            </w:r>
            <w:r w:rsidR="0012409C">
              <w:rPr>
                <w:szCs w:val="28"/>
                <w:shd w:val="clear" w:color="auto" w:fill="FFFFFF"/>
                <w:lang w:val="de-DE"/>
              </w:rPr>
              <w:t>ết hiệu lực theo thời gian và HĐND tỉnh đã ban hành Nghị quyết số 07/NQ-HĐND ngày 13/01/2021</w:t>
            </w:r>
          </w:p>
        </w:tc>
      </w:tr>
      <w:tr w:rsidR="00AF078F" w:rsidRPr="006076BE" w:rsidTr="00314663">
        <w:tc>
          <w:tcPr>
            <w:tcW w:w="746" w:type="dxa"/>
          </w:tcPr>
          <w:p w:rsidR="00AF078F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602" w:type="dxa"/>
          </w:tcPr>
          <w:p w:rsidR="00AF078F" w:rsidRPr="006076BE" w:rsidRDefault="00AF078F" w:rsidP="00314663">
            <w:pPr>
              <w:spacing w:before="120"/>
              <w:jc w:val="both"/>
            </w:pPr>
            <w:r w:rsidRPr="006076BE">
              <w:t xml:space="preserve">Nghị quyết số 26/NQ-HĐND ngày 20/12/2016 về hỗ trợ xúc tiến thu hút doanh nghiệp đầu tư vào nông nghiệp trên địa bàn huyện giai đoạn 2017-2020; </w:t>
            </w:r>
          </w:p>
          <w:p w:rsidR="00AF078F" w:rsidRPr="006076BE" w:rsidRDefault="00AF078F" w:rsidP="00314663">
            <w:pPr>
              <w:spacing w:before="120"/>
              <w:jc w:val="both"/>
            </w:pPr>
          </w:p>
        </w:tc>
        <w:tc>
          <w:tcPr>
            <w:tcW w:w="4962" w:type="dxa"/>
          </w:tcPr>
          <w:p w:rsidR="00AF078F" w:rsidRPr="006076BE" w:rsidRDefault="00AF078F" w:rsidP="00314663">
            <w:pPr>
              <w:spacing w:before="60"/>
              <w:jc w:val="center"/>
              <w:rPr>
                <w:szCs w:val="28"/>
                <w:shd w:val="clear" w:color="auto" w:fill="FFFFFF"/>
                <w:lang w:val="de-DE"/>
              </w:rPr>
            </w:pPr>
            <w:r>
              <w:rPr>
                <w:szCs w:val="28"/>
                <w:shd w:val="clear" w:color="auto" w:fill="FFFFFF"/>
                <w:lang w:val="de-DE"/>
              </w:rPr>
              <w:t>Hết hiệu lực</w:t>
            </w:r>
            <w:r w:rsidRPr="006076BE">
              <w:rPr>
                <w:szCs w:val="28"/>
                <w:shd w:val="clear" w:color="auto" w:fill="FFFFFF"/>
                <w:lang w:val="de-DE"/>
              </w:rPr>
              <w:t xml:space="preserve"> </w:t>
            </w:r>
            <w:r>
              <w:rPr>
                <w:szCs w:val="28"/>
                <w:shd w:val="clear" w:color="auto" w:fill="FFFFFF"/>
                <w:lang w:val="de-DE"/>
              </w:rPr>
              <w:t>theo thời gian</w:t>
            </w:r>
          </w:p>
        </w:tc>
      </w:tr>
    </w:tbl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0813D9" w:rsidRDefault="000813D9" w:rsidP="00AF078F">
      <w:pPr>
        <w:spacing w:before="120"/>
        <w:ind w:firstLine="720"/>
        <w:jc w:val="center"/>
        <w:rPr>
          <w:b/>
        </w:rPr>
      </w:pPr>
    </w:p>
    <w:p w:rsidR="000813D9" w:rsidRDefault="000813D9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7214C1" w:rsidRDefault="007214C1" w:rsidP="00AF078F">
      <w:pPr>
        <w:spacing w:before="120"/>
        <w:ind w:firstLine="720"/>
        <w:jc w:val="center"/>
        <w:rPr>
          <w:b/>
        </w:rPr>
      </w:pPr>
    </w:p>
    <w:p w:rsidR="00AF078F" w:rsidRPr="00AF078F" w:rsidRDefault="00AF078F" w:rsidP="00AF078F">
      <w:pPr>
        <w:spacing w:before="120"/>
        <w:ind w:firstLine="720"/>
        <w:jc w:val="center"/>
        <w:rPr>
          <w:b/>
        </w:rPr>
      </w:pPr>
      <w:r>
        <w:rPr>
          <w:b/>
        </w:rPr>
        <w:lastRenderedPageBreak/>
        <w:t>PHỤ LỤC III</w:t>
      </w:r>
    </w:p>
    <w:p w:rsidR="00AF078F" w:rsidRDefault="00AF078F" w:rsidP="00AF078F">
      <w:pPr>
        <w:spacing w:before="120"/>
        <w:ind w:firstLine="720"/>
        <w:jc w:val="center"/>
        <w:rPr>
          <w:b/>
        </w:rPr>
      </w:pPr>
      <w:r w:rsidRPr="00AF078F">
        <w:rPr>
          <w:b/>
        </w:rPr>
        <w:t>Danh mục Nghị quyết đề nghị</w:t>
      </w:r>
      <w:r>
        <w:rPr>
          <w:b/>
        </w:rPr>
        <w:t xml:space="preserve"> </w:t>
      </w:r>
      <w:r w:rsidRPr="00D249A9">
        <w:rPr>
          <w:b/>
        </w:rPr>
        <w:t>Công bố hết hiệu lực, ban hành văn bản mới thay thế</w:t>
      </w:r>
    </w:p>
    <w:p w:rsidR="00AF078F" w:rsidRDefault="00AF078F" w:rsidP="00AF078F">
      <w:pPr>
        <w:spacing w:before="120"/>
        <w:ind w:firstLine="720"/>
        <w:jc w:val="center"/>
      </w:pP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746"/>
        <w:gridCol w:w="9602"/>
        <w:gridCol w:w="4962"/>
      </w:tblGrid>
      <w:tr w:rsidR="00AF078F" w:rsidRPr="00C100ED" w:rsidTr="00314663">
        <w:tc>
          <w:tcPr>
            <w:tcW w:w="746" w:type="dxa"/>
          </w:tcPr>
          <w:p w:rsidR="00AF078F" w:rsidRPr="00C100ED" w:rsidRDefault="00AF078F" w:rsidP="00314663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C100ED">
              <w:rPr>
                <w:b/>
                <w:color w:val="000000" w:themeColor="text1"/>
              </w:rPr>
              <w:t>1.</w:t>
            </w:r>
          </w:p>
        </w:tc>
        <w:tc>
          <w:tcPr>
            <w:tcW w:w="9602" w:type="dxa"/>
          </w:tcPr>
          <w:p w:rsidR="00AF078F" w:rsidRPr="00C100ED" w:rsidRDefault="00AF078F" w:rsidP="00314663">
            <w:pPr>
              <w:spacing w:before="120"/>
              <w:jc w:val="both"/>
              <w:rPr>
                <w:color w:val="000000" w:themeColor="text1"/>
              </w:rPr>
            </w:pPr>
            <w:r w:rsidRPr="00C100ED">
              <w:rPr>
                <w:color w:val="000000" w:themeColor="text1"/>
              </w:rPr>
              <w:t xml:space="preserve">Nghị quyết số 29/NQ-HĐND ngày 20/12/2017 về quy hoạch phát triển giáo dục đào tạo huyện Nam Trà My giai đoạn 2016-2020, định hướng đến năm 2025; </w:t>
            </w:r>
          </w:p>
        </w:tc>
        <w:tc>
          <w:tcPr>
            <w:tcW w:w="4962" w:type="dxa"/>
          </w:tcPr>
          <w:p w:rsidR="00AF078F" w:rsidRPr="00C100ED" w:rsidRDefault="00AF078F" w:rsidP="00314663">
            <w:pPr>
              <w:spacing w:before="120"/>
              <w:jc w:val="both"/>
              <w:rPr>
                <w:b/>
                <w:color w:val="000000" w:themeColor="text1"/>
              </w:rPr>
            </w:pPr>
            <w:r w:rsidRPr="00C100ED">
              <w:rPr>
                <w:color w:val="000000" w:themeColor="text1"/>
                <w:szCs w:val="28"/>
                <w:lang w:val="de-DE"/>
              </w:rPr>
              <w:t xml:space="preserve">Căn cứ xây dựng đề án hết hiệu lực và chờ HĐND tỉnh thông qua Đề án hỗ trợ phát triển giáo dục miền núi tỉnh Quảng Nam  </w:t>
            </w:r>
            <w:r w:rsidRPr="00C100ED">
              <w:rPr>
                <w:color w:val="000000" w:themeColor="text1"/>
                <w:szCs w:val="28"/>
              </w:rPr>
              <w:t>từ năm 2020-2025.</w:t>
            </w:r>
          </w:p>
        </w:tc>
      </w:tr>
      <w:tr w:rsidR="00AF078F" w:rsidRPr="006076BE" w:rsidTr="00314663">
        <w:tc>
          <w:tcPr>
            <w:tcW w:w="746" w:type="dxa"/>
          </w:tcPr>
          <w:p w:rsidR="00AF078F" w:rsidRPr="006076BE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02" w:type="dxa"/>
          </w:tcPr>
          <w:p w:rsidR="00AF078F" w:rsidRPr="006076BE" w:rsidRDefault="00AF078F" w:rsidP="00314663">
            <w:pPr>
              <w:spacing w:before="120"/>
              <w:jc w:val="both"/>
            </w:pPr>
            <w:r w:rsidRPr="006076BE">
              <w:t xml:space="preserve">Nghị quyết số 28/NQ-HĐND ngày 28/12/2016 về đẩy mạnh cải cách hành chính huyện Nam Trà My giai đoạn 2016-2020; </w:t>
            </w:r>
          </w:p>
        </w:tc>
        <w:tc>
          <w:tcPr>
            <w:tcW w:w="4962" w:type="dxa"/>
          </w:tcPr>
          <w:p w:rsidR="00AF078F" w:rsidRPr="006076BE" w:rsidRDefault="00AF078F" w:rsidP="00314663">
            <w:pPr>
              <w:spacing w:before="60"/>
              <w:jc w:val="both"/>
              <w:rPr>
                <w:szCs w:val="28"/>
                <w:shd w:val="clear" w:color="auto" w:fill="FFFFFF"/>
                <w:lang w:val="de-DE"/>
              </w:rPr>
            </w:pPr>
            <w:r>
              <w:rPr>
                <w:szCs w:val="28"/>
                <w:shd w:val="clear" w:color="auto" w:fill="FFFFFF"/>
                <w:lang w:val="de-DE"/>
              </w:rPr>
              <w:t>Hết hiệu lực</w:t>
            </w:r>
            <w:r w:rsidRPr="006076BE">
              <w:rPr>
                <w:szCs w:val="28"/>
                <w:shd w:val="clear" w:color="auto" w:fill="FFFFFF"/>
                <w:lang w:val="de-DE"/>
              </w:rPr>
              <w:t xml:space="preserve"> </w:t>
            </w:r>
            <w:r>
              <w:rPr>
                <w:szCs w:val="28"/>
                <w:shd w:val="clear" w:color="auto" w:fill="FFFFFF"/>
                <w:lang w:val="de-DE"/>
              </w:rPr>
              <w:t xml:space="preserve">theo thời gian </w:t>
            </w:r>
            <w:r w:rsidRPr="006076BE">
              <w:rPr>
                <w:szCs w:val="28"/>
                <w:shd w:val="clear" w:color="auto" w:fill="FFFFFF"/>
                <w:lang w:val="de-DE"/>
              </w:rPr>
              <w:t>và chờ ban hành Nghị quyết mới</w:t>
            </w:r>
            <w:r>
              <w:rPr>
                <w:szCs w:val="28"/>
                <w:shd w:val="clear" w:color="auto" w:fill="FFFFFF"/>
                <w:lang w:val="de-DE"/>
              </w:rPr>
              <w:t xml:space="preserve"> cho giai đoạn 2021-2025</w:t>
            </w:r>
            <w:r w:rsidRPr="006076BE">
              <w:rPr>
                <w:szCs w:val="28"/>
                <w:shd w:val="clear" w:color="auto" w:fill="FFFFFF"/>
                <w:lang w:val="de-DE"/>
              </w:rPr>
              <w:t>.</w:t>
            </w:r>
          </w:p>
        </w:tc>
      </w:tr>
    </w:tbl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AF078F" w:rsidRDefault="00AF078F" w:rsidP="00674F29">
      <w:pPr>
        <w:spacing w:before="120"/>
        <w:ind w:firstLine="720"/>
        <w:jc w:val="center"/>
      </w:pPr>
    </w:p>
    <w:p w:rsidR="00FD4316" w:rsidRDefault="00FD4316" w:rsidP="00674F29">
      <w:pPr>
        <w:spacing w:before="120"/>
        <w:ind w:firstLine="720"/>
        <w:jc w:val="center"/>
      </w:pPr>
    </w:p>
    <w:p w:rsidR="00AF078F" w:rsidRPr="00AF078F" w:rsidRDefault="00AF078F" w:rsidP="00AF078F">
      <w:pPr>
        <w:spacing w:before="120"/>
        <w:ind w:firstLine="720"/>
        <w:jc w:val="center"/>
        <w:rPr>
          <w:b/>
        </w:rPr>
      </w:pPr>
      <w:r>
        <w:rPr>
          <w:b/>
        </w:rPr>
        <w:t>PHỤ LỤC IV</w:t>
      </w:r>
    </w:p>
    <w:p w:rsidR="00AF078F" w:rsidRDefault="00AF078F" w:rsidP="00AF078F">
      <w:pPr>
        <w:spacing w:before="120"/>
        <w:ind w:firstLine="720"/>
        <w:jc w:val="center"/>
        <w:rPr>
          <w:b/>
        </w:rPr>
      </w:pPr>
      <w:r w:rsidRPr="00AF078F">
        <w:rPr>
          <w:b/>
        </w:rPr>
        <w:t>Danh mục Nghị quyết đề nghị</w:t>
      </w:r>
      <w:r>
        <w:rPr>
          <w:b/>
        </w:rPr>
        <w:t xml:space="preserve"> tiếp tục thực hiện</w:t>
      </w:r>
    </w:p>
    <w:p w:rsidR="00AF078F" w:rsidRDefault="00AF078F" w:rsidP="00AF078F">
      <w:pPr>
        <w:spacing w:before="120"/>
        <w:ind w:firstLine="720"/>
        <w:jc w:val="center"/>
        <w:rPr>
          <w:b/>
        </w:rPr>
      </w:pPr>
    </w:p>
    <w:p w:rsidR="00AF078F" w:rsidRDefault="00AF078F" w:rsidP="00AF078F">
      <w:pPr>
        <w:spacing w:before="120"/>
        <w:ind w:firstLine="720"/>
        <w:jc w:val="center"/>
      </w:pP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746"/>
        <w:gridCol w:w="9602"/>
        <w:gridCol w:w="4962"/>
      </w:tblGrid>
      <w:tr w:rsidR="00AF078F" w:rsidRPr="00C100ED" w:rsidTr="00B5338D">
        <w:tc>
          <w:tcPr>
            <w:tcW w:w="15310" w:type="dxa"/>
            <w:gridSpan w:val="3"/>
          </w:tcPr>
          <w:p w:rsidR="00AF078F" w:rsidRDefault="00AF078F" w:rsidP="0031466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Nghị quyết đề nghị </w:t>
            </w:r>
            <w:r w:rsidRPr="00C100ED">
              <w:rPr>
                <w:b/>
              </w:rPr>
              <w:t>Kéo dài thời gian thực hiện đến hết năm 2021</w:t>
            </w:r>
          </w:p>
          <w:p w:rsidR="00A708C8" w:rsidRPr="00C100ED" w:rsidRDefault="00A708C8" w:rsidP="00314663">
            <w:pPr>
              <w:spacing w:before="60"/>
              <w:jc w:val="center"/>
              <w:rPr>
                <w:b/>
                <w:szCs w:val="28"/>
                <w:shd w:val="clear" w:color="auto" w:fill="FFFFFF"/>
                <w:lang w:val="de-DE"/>
              </w:rPr>
            </w:pPr>
          </w:p>
        </w:tc>
      </w:tr>
      <w:tr w:rsidR="00AF078F" w:rsidRPr="006076BE" w:rsidTr="00B5338D">
        <w:tc>
          <w:tcPr>
            <w:tcW w:w="746" w:type="dxa"/>
          </w:tcPr>
          <w:p w:rsidR="00AF078F" w:rsidRPr="006076BE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02" w:type="dxa"/>
          </w:tcPr>
          <w:p w:rsidR="00AF078F" w:rsidRPr="006076BE" w:rsidRDefault="00AF078F" w:rsidP="00314663">
            <w:pPr>
              <w:spacing w:before="120"/>
              <w:jc w:val="both"/>
            </w:pPr>
            <w:r w:rsidRPr="006076BE">
              <w:t xml:space="preserve">Nghị quyết số 16/NQ-HĐND ngày 05/8/2016 về Chương trình giảm nghèo bền vững huyện Nam Trà My giai đoạn 2016-2020; </w:t>
            </w:r>
          </w:p>
          <w:p w:rsidR="00AF078F" w:rsidRPr="006076BE" w:rsidRDefault="00AF078F" w:rsidP="00314663">
            <w:pPr>
              <w:spacing w:before="120"/>
              <w:jc w:val="both"/>
            </w:pPr>
          </w:p>
        </w:tc>
        <w:tc>
          <w:tcPr>
            <w:tcW w:w="4962" w:type="dxa"/>
          </w:tcPr>
          <w:p w:rsidR="00AF078F" w:rsidRPr="006076BE" w:rsidRDefault="00AF078F" w:rsidP="00314663">
            <w:pPr>
              <w:spacing w:before="60"/>
              <w:jc w:val="both"/>
              <w:rPr>
                <w:szCs w:val="28"/>
                <w:shd w:val="clear" w:color="auto" w:fill="FFFFFF"/>
                <w:lang w:val="de-DE"/>
              </w:rPr>
            </w:pPr>
            <w:r>
              <w:rPr>
                <w:szCs w:val="28"/>
                <w:lang w:val="da-DK"/>
              </w:rPr>
              <w:t>K</w:t>
            </w:r>
            <w:r w:rsidRPr="006076BE">
              <w:rPr>
                <w:szCs w:val="28"/>
                <w:lang w:val="da-DK"/>
              </w:rPr>
              <w:t>éo dài thời gia</w:t>
            </w:r>
            <w:r>
              <w:rPr>
                <w:szCs w:val="28"/>
                <w:lang w:val="da-DK"/>
              </w:rPr>
              <w:t>n</w:t>
            </w:r>
            <w:r w:rsidRPr="006076BE">
              <w:rPr>
                <w:szCs w:val="28"/>
                <w:lang w:val="da-DK"/>
              </w:rPr>
              <w:t xml:space="preserve"> thực hiện chính sách thưởng thoát nghèo bằng tiền mặt (3 triệu đồng/ hộ thoát nghèo</w:t>
            </w:r>
            <w:r>
              <w:rPr>
                <w:szCs w:val="28"/>
                <w:lang w:val="da-DK"/>
              </w:rPr>
              <w:t>)</w:t>
            </w:r>
            <w:r w:rsidRPr="006076BE">
              <w:rPr>
                <w:szCs w:val="28"/>
                <w:lang w:val="da-DK"/>
              </w:rPr>
              <w:t xml:space="preserve"> đến </w:t>
            </w:r>
            <w:r>
              <w:rPr>
                <w:szCs w:val="28"/>
                <w:lang w:val="da-DK"/>
              </w:rPr>
              <w:t xml:space="preserve">hết </w:t>
            </w:r>
            <w:r w:rsidRPr="006076BE">
              <w:rPr>
                <w:szCs w:val="28"/>
                <w:lang w:val="da-DK"/>
              </w:rPr>
              <w:t>năm 2021</w:t>
            </w:r>
            <w:r>
              <w:rPr>
                <w:szCs w:val="28"/>
                <w:lang w:val="da-DK"/>
              </w:rPr>
              <w:t>.</w:t>
            </w:r>
          </w:p>
        </w:tc>
      </w:tr>
      <w:tr w:rsidR="00AF078F" w:rsidRPr="006076BE" w:rsidTr="00B5338D">
        <w:tc>
          <w:tcPr>
            <w:tcW w:w="15310" w:type="dxa"/>
            <w:gridSpan w:val="3"/>
          </w:tcPr>
          <w:p w:rsidR="00AF078F" w:rsidRDefault="00AF078F" w:rsidP="00AF078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Nghị quyết t</w:t>
            </w:r>
            <w:r w:rsidRPr="00C100ED">
              <w:rPr>
                <w:b/>
              </w:rPr>
              <w:t>iếp tục thực hiện đến hết năm 2025</w:t>
            </w:r>
          </w:p>
          <w:p w:rsidR="00A708C8" w:rsidRPr="00C100ED" w:rsidRDefault="00A708C8" w:rsidP="00AF078F">
            <w:pPr>
              <w:spacing w:before="60"/>
              <w:jc w:val="center"/>
              <w:rPr>
                <w:b/>
                <w:szCs w:val="28"/>
                <w:lang w:val="da-DK"/>
              </w:rPr>
            </w:pPr>
          </w:p>
        </w:tc>
      </w:tr>
      <w:tr w:rsidR="00AF078F" w:rsidRPr="006076BE" w:rsidTr="00B5338D">
        <w:tc>
          <w:tcPr>
            <w:tcW w:w="746" w:type="dxa"/>
          </w:tcPr>
          <w:p w:rsidR="00AF078F" w:rsidRPr="006076BE" w:rsidRDefault="00AF078F" w:rsidP="0031466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02" w:type="dxa"/>
          </w:tcPr>
          <w:p w:rsidR="00AF078F" w:rsidRPr="006076BE" w:rsidRDefault="00AF078F" w:rsidP="00314663">
            <w:pPr>
              <w:spacing w:before="120"/>
              <w:jc w:val="both"/>
            </w:pPr>
            <w:r w:rsidRPr="006076BE">
              <w:t>Nghị quyết số 02/2015/ NQ-HĐND ngày 29/01/2015 về Xây dựng hạ tầng kỹ thuật phục vụ phát triển Sâm Ngọc Linh (sâm Việt Nam);</w:t>
            </w:r>
          </w:p>
        </w:tc>
        <w:tc>
          <w:tcPr>
            <w:tcW w:w="4962" w:type="dxa"/>
          </w:tcPr>
          <w:p w:rsidR="00AF078F" w:rsidRDefault="00AF078F" w:rsidP="00314663">
            <w:pPr>
              <w:spacing w:before="60"/>
              <w:jc w:val="both"/>
              <w:rPr>
                <w:szCs w:val="28"/>
                <w:lang w:val="da-DK"/>
              </w:rPr>
            </w:pPr>
            <w:r>
              <w:rPr>
                <w:szCs w:val="28"/>
                <w:lang w:val="da-DK"/>
              </w:rPr>
              <w:t>Tiếp tục triển khai các dự án dở dang do vướng thủ tục chuyển đổi mục đích sử dụng rừng</w:t>
            </w:r>
          </w:p>
        </w:tc>
      </w:tr>
      <w:tr w:rsidR="00B5338D" w:rsidRPr="006076BE" w:rsidTr="00BC3A86">
        <w:tc>
          <w:tcPr>
            <w:tcW w:w="15310" w:type="dxa"/>
            <w:gridSpan w:val="3"/>
          </w:tcPr>
          <w:p w:rsidR="009C1910" w:rsidRDefault="009C1910" w:rsidP="00B5338D">
            <w:pPr>
              <w:spacing w:before="60"/>
              <w:jc w:val="center"/>
              <w:rPr>
                <w:b/>
              </w:rPr>
            </w:pPr>
          </w:p>
          <w:p w:rsidR="00B5338D" w:rsidRDefault="00B5338D" w:rsidP="00B5338D">
            <w:pPr>
              <w:spacing w:before="60"/>
              <w:jc w:val="center"/>
              <w:rPr>
                <w:b/>
              </w:rPr>
            </w:pPr>
            <w:r w:rsidRPr="00B5338D">
              <w:rPr>
                <w:b/>
              </w:rPr>
              <w:t>Nghị quyết tiếp tục thực hiện đến năm 2030</w:t>
            </w:r>
          </w:p>
          <w:p w:rsidR="009C1910" w:rsidRPr="00B5338D" w:rsidRDefault="009C1910" w:rsidP="00B5338D">
            <w:pPr>
              <w:spacing w:before="60"/>
              <w:jc w:val="center"/>
              <w:rPr>
                <w:b/>
                <w:szCs w:val="28"/>
                <w:lang w:val="da-DK"/>
              </w:rPr>
            </w:pPr>
          </w:p>
        </w:tc>
      </w:tr>
      <w:tr w:rsidR="00B5338D" w:rsidRPr="006076BE" w:rsidTr="00B5338D">
        <w:tc>
          <w:tcPr>
            <w:tcW w:w="746" w:type="dxa"/>
          </w:tcPr>
          <w:p w:rsidR="00B5338D" w:rsidRPr="006076BE" w:rsidRDefault="00B5338D" w:rsidP="006546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02" w:type="dxa"/>
          </w:tcPr>
          <w:p w:rsidR="00B5338D" w:rsidRDefault="00B5338D" w:rsidP="00654673">
            <w:pPr>
              <w:spacing w:before="120"/>
              <w:jc w:val="both"/>
              <w:rPr>
                <w:b/>
              </w:rPr>
            </w:pPr>
            <w:r w:rsidRPr="006076BE">
              <w:t>Nghị quyết số 15/NQ-HĐND ngày 05/8/2016 về phát triển vùng sâm gốc Ngọc Linh giai đoạn 2017-2020, định hướng đến năm 2030;</w:t>
            </w:r>
          </w:p>
        </w:tc>
        <w:tc>
          <w:tcPr>
            <w:tcW w:w="4962" w:type="dxa"/>
          </w:tcPr>
          <w:p w:rsidR="00B5338D" w:rsidRPr="005D759D" w:rsidRDefault="00B5338D" w:rsidP="00654673">
            <w:pPr>
              <w:spacing w:before="120"/>
            </w:pPr>
            <w:r>
              <w:rPr>
                <w:szCs w:val="28"/>
                <w:shd w:val="clear" w:color="auto" w:fill="FFFFFF"/>
                <w:lang w:val="de-DE"/>
              </w:rPr>
              <w:t xml:space="preserve">HĐND huyện đã ban hành </w:t>
            </w:r>
            <w:r w:rsidRPr="006076BE">
              <w:rPr>
                <w:szCs w:val="28"/>
                <w:shd w:val="clear" w:color="auto" w:fill="FFFFFF"/>
                <w:lang w:val="de-DE"/>
              </w:rPr>
              <w:t>Nghị quyết 69</w:t>
            </w:r>
            <w:r>
              <w:rPr>
                <w:szCs w:val="28"/>
                <w:shd w:val="clear" w:color="auto" w:fill="FFFFFF"/>
                <w:lang w:val="de-DE"/>
              </w:rPr>
              <w:t>/NQ-HĐND ngày 25/12/2019</w:t>
            </w:r>
            <w:r w:rsidRPr="006076BE">
              <w:rPr>
                <w:szCs w:val="28"/>
                <w:shd w:val="clear" w:color="auto" w:fill="FFFFFF"/>
                <w:lang w:val="de-DE"/>
              </w:rPr>
              <w:t xml:space="preserve"> về chiến lược phát triển Sâm Ngọc Linh</w:t>
            </w:r>
          </w:p>
        </w:tc>
      </w:tr>
    </w:tbl>
    <w:p w:rsidR="00AF078F" w:rsidRPr="006076BE" w:rsidRDefault="00AF078F" w:rsidP="00674F29">
      <w:pPr>
        <w:spacing w:before="120"/>
        <w:ind w:firstLine="720"/>
        <w:jc w:val="center"/>
      </w:pPr>
      <w:bookmarkStart w:id="1" w:name="_GoBack"/>
      <w:bookmarkEnd w:id="1"/>
    </w:p>
    <w:sectPr w:rsidR="00AF078F" w:rsidRPr="006076BE" w:rsidSect="00F03951">
      <w:pgSz w:w="16840" w:h="11907" w:orient="landscape" w:code="9"/>
      <w:pgMar w:top="709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DC"/>
    <w:rsid w:val="00012C0E"/>
    <w:rsid w:val="000813D9"/>
    <w:rsid w:val="000912B5"/>
    <w:rsid w:val="000D37AA"/>
    <w:rsid w:val="001106D8"/>
    <w:rsid w:val="0012409C"/>
    <w:rsid w:val="00184CAF"/>
    <w:rsid w:val="001C097B"/>
    <w:rsid w:val="001E7925"/>
    <w:rsid w:val="00213BDE"/>
    <w:rsid w:val="00235638"/>
    <w:rsid w:val="0027087F"/>
    <w:rsid w:val="00281069"/>
    <w:rsid w:val="002C5DFA"/>
    <w:rsid w:val="0036520D"/>
    <w:rsid w:val="003B6AFD"/>
    <w:rsid w:val="00427002"/>
    <w:rsid w:val="004352D2"/>
    <w:rsid w:val="004D75D0"/>
    <w:rsid w:val="005175E5"/>
    <w:rsid w:val="0055106D"/>
    <w:rsid w:val="005556A0"/>
    <w:rsid w:val="00570490"/>
    <w:rsid w:val="0058671C"/>
    <w:rsid w:val="005D759D"/>
    <w:rsid w:val="006076BE"/>
    <w:rsid w:val="00622031"/>
    <w:rsid w:val="00674F29"/>
    <w:rsid w:val="00676A9E"/>
    <w:rsid w:val="0069134B"/>
    <w:rsid w:val="006C4738"/>
    <w:rsid w:val="006C4ED2"/>
    <w:rsid w:val="006D76D9"/>
    <w:rsid w:val="007214C1"/>
    <w:rsid w:val="007942F1"/>
    <w:rsid w:val="007A35FC"/>
    <w:rsid w:val="007A4506"/>
    <w:rsid w:val="007A4D78"/>
    <w:rsid w:val="007D2E32"/>
    <w:rsid w:val="007E4138"/>
    <w:rsid w:val="00815E14"/>
    <w:rsid w:val="008241BF"/>
    <w:rsid w:val="00844215"/>
    <w:rsid w:val="0088041E"/>
    <w:rsid w:val="0088367E"/>
    <w:rsid w:val="00887AE1"/>
    <w:rsid w:val="008E04DC"/>
    <w:rsid w:val="00906F20"/>
    <w:rsid w:val="00970D0A"/>
    <w:rsid w:val="009C1910"/>
    <w:rsid w:val="00A030C6"/>
    <w:rsid w:val="00A708C8"/>
    <w:rsid w:val="00A90E80"/>
    <w:rsid w:val="00AB1888"/>
    <w:rsid w:val="00AC4800"/>
    <w:rsid w:val="00AF078F"/>
    <w:rsid w:val="00B15DBA"/>
    <w:rsid w:val="00B42A11"/>
    <w:rsid w:val="00B5338D"/>
    <w:rsid w:val="00B56542"/>
    <w:rsid w:val="00BC54CA"/>
    <w:rsid w:val="00C100ED"/>
    <w:rsid w:val="00C16BB5"/>
    <w:rsid w:val="00C171EF"/>
    <w:rsid w:val="00D249A9"/>
    <w:rsid w:val="00D27A50"/>
    <w:rsid w:val="00D76670"/>
    <w:rsid w:val="00E16E0E"/>
    <w:rsid w:val="00E2139C"/>
    <w:rsid w:val="00E418AB"/>
    <w:rsid w:val="00EA36B6"/>
    <w:rsid w:val="00F03951"/>
    <w:rsid w:val="00F03D8C"/>
    <w:rsid w:val="00FC58DA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DC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356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638"/>
    <w:rPr>
      <w:rFonts w:eastAsia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11"/>
    <w:rPr>
      <w:rFonts w:ascii="Segoe UI" w:eastAsia="Times New Roman" w:hAnsi="Segoe UI" w:cs="Segoe UI"/>
      <w:sz w:val="18"/>
      <w:szCs w:val="18"/>
    </w:rPr>
  </w:style>
  <w:style w:type="paragraph" w:customStyle="1" w:styleId="1Char">
    <w:name w:val="1 Char"/>
    <w:basedOn w:val="DocumentMap"/>
    <w:autoRedefine/>
    <w:rsid w:val="007D2E32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2E3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2E32"/>
    <w:rPr>
      <w:rFonts w:ascii="Segoe UI" w:eastAsia="Times New Roman" w:hAnsi="Segoe UI" w:cs="Segoe UI"/>
      <w:sz w:val="16"/>
      <w:szCs w:val="16"/>
    </w:rPr>
  </w:style>
  <w:style w:type="character" w:customStyle="1" w:styleId="apple-converted-space">
    <w:name w:val="apple-converted-space"/>
    <w:basedOn w:val="DefaultParagraphFont"/>
    <w:rsid w:val="0072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DC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356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638"/>
    <w:rPr>
      <w:rFonts w:eastAsia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11"/>
    <w:rPr>
      <w:rFonts w:ascii="Segoe UI" w:eastAsia="Times New Roman" w:hAnsi="Segoe UI" w:cs="Segoe UI"/>
      <w:sz w:val="18"/>
      <w:szCs w:val="18"/>
    </w:rPr>
  </w:style>
  <w:style w:type="paragraph" w:customStyle="1" w:styleId="1Char">
    <w:name w:val="1 Char"/>
    <w:basedOn w:val="DocumentMap"/>
    <w:autoRedefine/>
    <w:rsid w:val="007D2E32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2E3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2E32"/>
    <w:rPr>
      <w:rFonts w:ascii="Segoe UI" w:eastAsia="Times New Roman" w:hAnsi="Segoe UI" w:cs="Segoe UI"/>
      <w:sz w:val="16"/>
      <w:szCs w:val="16"/>
    </w:rPr>
  </w:style>
  <w:style w:type="character" w:customStyle="1" w:styleId="apple-converted-space">
    <w:name w:val="apple-converted-space"/>
    <w:basedOn w:val="DefaultParagraphFont"/>
    <w:rsid w:val="0072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Tuyen</dc:creator>
  <cp:lastModifiedBy>Windows User</cp:lastModifiedBy>
  <cp:revision>2</cp:revision>
  <cp:lastPrinted>2021-03-26T02:13:00Z</cp:lastPrinted>
  <dcterms:created xsi:type="dcterms:W3CDTF">2021-03-26T03:31:00Z</dcterms:created>
  <dcterms:modified xsi:type="dcterms:W3CDTF">2021-03-26T03:31:00Z</dcterms:modified>
</cp:coreProperties>
</file>